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5C3E" w14:textId="77777777" w:rsidR="00C9547C" w:rsidRPr="00B366F9" w:rsidRDefault="00C9547C" w:rsidP="00C9547C">
      <w:pPr>
        <w:keepNext/>
        <w:keepLines/>
        <w:suppressAutoHyphens/>
        <w:autoSpaceDN w:val="0"/>
        <w:spacing w:before="240" w:line="247" w:lineRule="auto"/>
        <w:jc w:val="right"/>
        <w:textAlignment w:val="baseline"/>
        <w:outlineLvl w:val="0"/>
        <w:rPr>
          <w:rFonts w:eastAsiaTheme="majorEastAsia" w:cstheme="majorBidi"/>
          <w:b/>
          <w:sz w:val="28"/>
          <w:szCs w:val="32"/>
        </w:rPr>
      </w:pPr>
      <w:r w:rsidRPr="00B366F9">
        <w:rPr>
          <w:rFonts w:eastAsiaTheme="majorEastAsia" w:cstheme="majorBidi"/>
          <w:b/>
          <w:sz w:val="28"/>
          <w:szCs w:val="32"/>
        </w:rPr>
        <w:t xml:space="preserve">Anexa nr. 5 la Condițiile cadru </w:t>
      </w:r>
    </w:p>
    <w:p w14:paraId="74358D70" w14:textId="77777777" w:rsidR="00C9547C" w:rsidRDefault="00C9547C" w:rsidP="00C9547C"/>
    <w:p w14:paraId="457FF680" w14:textId="77777777" w:rsidR="00C9547C" w:rsidRPr="006338DA" w:rsidRDefault="00C9547C" w:rsidP="00C9547C">
      <w:pPr>
        <w:spacing w:line="360" w:lineRule="auto"/>
        <w:jc w:val="center"/>
        <w:rPr>
          <w:b/>
          <w:sz w:val="28"/>
          <w:szCs w:val="28"/>
        </w:rPr>
      </w:pPr>
      <w:r w:rsidRPr="006338DA">
        <w:rPr>
          <w:b/>
          <w:sz w:val="28"/>
          <w:szCs w:val="28"/>
        </w:rPr>
        <w:t>Condiții specifice</w:t>
      </w:r>
    </w:p>
    <w:p w14:paraId="59206D3B" w14:textId="77777777" w:rsidR="00C9547C" w:rsidRPr="006338DA" w:rsidRDefault="00C9547C" w:rsidP="00C9547C">
      <w:pPr>
        <w:spacing w:line="360" w:lineRule="auto"/>
        <w:jc w:val="center"/>
        <w:rPr>
          <w:b/>
          <w:sz w:val="28"/>
          <w:szCs w:val="28"/>
        </w:rPr>
      </w:pPr>
      <w:r w:rsidRPr="006338DA">
        <w:rPr>
          <w:b/>
          <w:sz w:val="28"/>
          <w:szCs w:val="28"/>
        </w:rPr>
        <w:t xml:space="preserve">ale locului de </w:t>
      </w:r>
      <w:r w:rsidRPr="004D438D">
        <w:rPr>
          <w:b/>
          <w:sz w:val="28"/>
          <w:szCs w:val="28"/>
        </w:rPr>
        <w:t>consum/de producere şi consum integrat în sistemul</w:t>
      </w:r>
      <w:r w:rsidRPr="006338DA">
        <w:rPr>
          <w:b/>
          <w:sz w:val="28"/>
          <w:szCs w:val="28"/>
        </w:rPr>
        <w:t xml:space="preserve"> de măsurare inteligentă a energiei electrice</w:t>
      </w:r>
    </w:p>
    <w:p w14:paraId="4C0B5D61" w14:textId="77777777" w:rsidR="00C9547C" w:rsidRPr="006338DA" w:rsidRDefault="00C9547C" w:rsidP="00C9547C">
      <w:pPr>
        <w:spacing w:line="360" w:lineRule="auto"/>
        <w:jc w:val="center"/>
        <w:rPr>
          <w:b/>
          <w:sz w:val="28"/>
          <w:szCs w:val="28"/>
        </w:rPr>
      </w:pPr>
    </w:p>
    <w:p w14:paraId="6B0A301F" w14:textId="77777777" w:rsidR="00C9547C" w:rsidRPr="008459BD" w:rsidRDefault="00C9547C" w:rsidP="00C9547C">
      <w:pPr>
        <w:numPr>
          <w:ilvl w:val="0"/>
          <w:numId w:val="2"/>
        </w:numPr>
        <w:tabs>
          <w:tab w:val="left" w:pos="316"/>
        </w:tabs>
        <w:spacing w:after="160" w:line="360" w:lineRule="auto"/>
        <w:ind w:left="190" w:hanging="77"/>
        <w:jc w:val="both"/>
      </w:pPr>
      <w:r>
        <w:t xml:space="preserve"> </w:t>
      </w:r>
      <w:r w:rsidRPr="008459BD">
        <w:t xml:space="preserve">Începând cu data de __________ </w:t>
      </w:r>
      <w:r>
        <w:t xml:space="preserve">, </w:t>
      </w:r>
      <w:r w:rsidRPr="008459BD">
        <w:t>locul de consum</w:t>
      </w:r>
      <w:r>
        <w:t>/de producere şi consum</w:t>
      </w:r>
      <w:r w:rsidRPr="008459BD">
        <w:t xml:space="preserve"> de la adresa _______________________ a fost integrat în sistemul de măsurare inteligentă a energie electrice (SMI). Prin </w:t>
      </w:r>
      <w:r>
        <w:t>sistemul de măsurare instalat</w:t>
      </w:r>
      <w:r w:rsidRPr="008459BD">
        <w:t xml:space="preserve"> se înregistrează și se transmit spre sistemul central de achiziție și prelucrare a datelor următoarele tipuri de date, care se utilizeaz</w:t>
      </w:r>
      <w:r>
        <w:t>ă</w:t>
      </w:r>
      <w:r w:rsidRPr="008459BD">
        <w:t xml:space="preserve"> în scopurile precizate în continuare:</w:t>
      </w:r>
    </w:p>
    <w:tbl>
      <w:tblPr>
        <w:tblStyle w:val="TableGrid"/>
        <w:tblW w:w="10060" w:type="dxa"/>
        <w:tblLook w:val="04A0" w:firstRow="1" w:lastRow="0" w:firstColumn="1" w:lastColumn="0" w:noHBand="0" w:noVBand="1"/>
      </w:tblPr>
      <w:tblGrid>
        <w:gridCol w:w="5382"/>
        <w:gridCol w:w="4678"/>
      </w:tblGrid>
      <w:tr w:rsidR="00C9547C" w:rsidRPr="008459BD" w14:paraId="5664A2F1" w14:textId="77777777" w:rsidTr="0004650D">
        <w:tc>
          <w:tcPr>
            <w:tcW w:w="5382" w:type="dxa"/>
            <w:vAlign w:val="center"/>
          </w:tcPr>
          <w:p w14:paraId="00E505F5" w14:textId="77777777" w:rsidR="00C9547C" w:rsidRPr="008459BD" w:rsidRDefault="00C9547C" w:rsidP="0004650D">
            <w:pPr>
              <w:tabs>
                <w:tab w:val="left" w:pos="316"/>
              </w:tabs>
              <w:jc w:val="center"/>
              <w:rPr>
                <w:b/>
                <w:bCs/>
              </w:rPr>
            </w:pPr>
            <w:r w:rsidRPr="008459BD">
              <w:rPr>
                <w:b/>
                <w:bCs/>
              </w:rPr>
              <w:t>Datele înregistrate de contor și transmise către sistemul central de achiziție și prelucrare a datelor</w:t>
            </w:r>
          </w:p>
        </w:tc>
        <w:tc>
          <w:tcPr>
            <w:tcW w:w="4678" w:type="dxa"/>
            <w:vAlign w:val="center"/>
          </w:tcPr>
          <w:p w14:paraId="6D2242AC" w14:textId="77777777" w:rsidR="00C9547C" w:rsidRPr="008459BD" w:rsidRDefault="00C9547C" w:rsidP="0004650D">
            <w:pPr>
              <w:tabs>
                <w:tab w:val="left" w:pos="316"/>
              </w:tabs>
              <w:jc w:val="center"/>
              <w:rPr>
                <w:b/>
                <w:bCs/>
              </w:rPr>
            </w:pPr>
            <w:r w:rsidRPr="008459BD">
              <w:rPr>
                <w:b/>
                <w:bCs/>
              </w:rPr>
              <w:t>Scopul utilizării datelor</w:t>
            </w:r>
          </w:p>
        </w:tc>
      </w:tr>
      <w:tr w:rsidR="00C9547C" w:rsidRPr="008459BD" w14:paraId="06C1D1DB" w14:textId="77777777" w:rsidTr="0004650D">
        <w:tc>
          <w:tcPr>
            <w:tcW w:w="5382" w:type="dxa"/>
            <w:vAlign w:val="center"/>
          </w:tcPr>
          <w:p w14:paraId="6DCBD07D" w14:textId="77777777" w:rsidR="00C9547C" w:rsidRPr="008459BD" w:rsidRDefault="00C9547C" w:rsidP="00C9547C">
            <w:pPr>
              <w:pStyle w:val="ListParagraph"/>
              <w:numPr>
                <w:ilvl w:val="0"/>
                <w:numId w:val="1"/>
              </w:numPr>
              <w:tabs>
                <w:tab w:val="left" w:pos="210"/>
              </w:tabs>
              <w:ind w:left="22" w:firstLine="0"/>
            </w:pPr>
            <w:r w:rsidRPr="008459BD">
              <w:t>date de decontare - date necesare pentru facturare, inclusiv cele care afectează credibilitatea sau acurate</w:t>
            </w:r>
            <w:r>
              <w:t>ț</w:t>
            </w:r>
            <w:r w:rsidRPr="008459BD">
              <w:t>ea datelor necesare pentru facturare (indexuri de energie, indexuri diferen</w:t>
            </w:r>
            <w:r>
              <w:t>ț</w:t>
            </w:r>
            <w:r w:rsidRPr="008459BD">
              <w:t xml:space="preserve">iale pe structuri tarifare, inclusiv cele memorate la intervale de timp egale </w:t>
            </w:r>
            <w:r>
              <w:t>ș</w:t>
            </w:r>
            <w:r w:rsidRPr="008459BD">
              <w:t>i sincronizate cu ceasul de timp real, puterea activă maximă de lungă durată pentru fiecare sfert de oră bloc, ceas de timp real, curbe de sarcină de indexuri, tentativă de fraudă etc.);</w:t>
            </w:r>
          </w:p>
        </w:tc>
        <w:tc>
          <w:tcPr>
            <w:tcW w:w="4678" w:type="dxa"/>
            <w:vAlign w:val="center"/>
          </w:tcPr>
          <w:p w14:paraId="3F0A3C8D" w14:textId="77777777" w:rsidR="00C9547C" w:rsidRPr="008459BD" w:rsidRDefault="00C9547C" w:rsidP="00C9547C">
            <w:pPr>
              <w:numPr>
                <w:ilvl w:val="0"/>
                <w:numId w:val="1"/>
              </w:numPr>
              <w:tabs>
                <w:tab w:val="left" w:pos="186"/>
              </w:tabs>
              <w:ind w:left="44" w:firstLine="0"/>
              <w:jc w:val="both"/>
            </w:pPr>
            <w:r>
              <w:t>f</w:t>
            </w:r>
            <w:r w:rsidRPr="008459BD">
              <w:t>acturarea cantității de energie electrică</w:t>
            </w:r>
            <w:r>
              <w:t xml:space="preserve"> consumate/produse</w:t>
            </w:r>
          </w:p>
        </w:tc>
      </w:tr>
      <w:tr w:rsidR="00C9547C" w:rsidRPr="008459BD" w14:paraId="2D788F0D" w14:textId="77777777" w:rsidTr="0004650D">
        <w:tc>
          <w:tcPr>
            <w:tcW w:w="5382" w:type="dxa"/>
            <w:vAlign w:val="center"/>
          </w:tcPr>
          <w:p w14:paraId="549C6FDC" w14:textId="77777777" w:rsidR="00C9547C" w:rsidRPr="008459BD" w:rsidRDefault="00C9547C" w:rsidP="00C9547C">
            <w:pPr>
              <w:pStyle w:val="ListParagraph"/>
              <w:numPr>
                <w:ilvl w:val="0"/>
                <w:numId w:val="1"/>
              </w:numPr>
              <w:tabs>
                <w:tab w:val="left" w:pos="210"/>
              </w:tabs>
              <w:ind w:left="22" w:firstLine="0"/>
            </w:pPr>
            <w:r w:rsidRPr="008459BD">
              <w:t>mărimi de instrumentație – mărimi instantanee: puterea electrică activă/reactivă, tensiunea, curentul, frecvența rețelei;</w:t>
            </w:r>
          </w:p>
          <w:p w14:paraId="107C38B2" w14:textId="77777777" w:rsidR="00C9547C" w:rsidRPr="008459BD" w:rsidRDefault="00C9547C" w:rsidP="00C9547C">
            <w:pPr>
              <w:pStyle w:val="ListParagraph"/>
              <w:numPr>
                <w:ilvl w:val="0"/>
                <w:numId w:val="1"/>
              </w:numPr>
              <w:tabs>
                <w:tab w:val="left" w:pos="210"/>
              </w:tabs>
              <w:ind w:left="22" w:firstLine="0"/>
            </w:pPr>
            <w:r w:rsidRPr="008459BD">
              <w:t>date de stare - informații cu privire la evenimente și mărimi de stare ca de exemplu: stare conectat/deconectat, mărime electrică încadrată sau nu într-un  interval de variație predefinit etc.</w:t>
            </w:r>
          </w:p>
        </w:tc>
        <w:tc>
          <w:tcPr>
            <w:tcW w:w="4678" w:type="dxa"/>
            <w:vAlign w:val="center"/>
          </w:tcPr>
          <w:p w14:paraId="0897BC1D" w14:textId="77777777" w:rsidR="00C9547C" w:rsidRPr="008459BD" w:rsidRDefault="00C9547C" w:rsidP="00C9547C">
            <w:pPr>
              <w:numPr>
                <w:ilvl w:val="0"/>
                <w:numId w:val="1"/>
              </w:numPr>
              <w:tabs>
                <w:tab w:val="left" w:pos="193"/>
              </w:tabs>
              <w:ind w:left="0" w:firstLine="0"/>
              <w:jc w:val="both"/>
            </w:pPr>
            <w:r w:rsidRPr="008459BD">
              <w:t>monitorizarea parametrilor electrici prevăzuți în avizul de racordare la rețelele electrice de distribuție a energiei electrice;</w:t>
            </w:r>
          </w:p>
          <w:p w14:paraId="401867E5" w14:textId="77777777" w:rsidR="00C9547C" w:rsidRPr="008459BD" w:rsidRDefault="00C9547C" w:rsidP="00C9547C">
            <w:pPr>
              <w:numPr>
                <w:ilvl w:val="0"/>
                <w:numId w:val="1"/>
              </w:numPr>
              <w:tabs>
                <w:tab w:val="left" w:pos="193"/>
              </w:tabs>
              <w:ind w:left="0" w:firstLine="0"/>
              <w:jc w:val="both"/>
            </w:pPr>
            <w:r w:rsidRPr="008459BD">
              <w:t>monitorizarea parametrilor necesari pentru determinarea indicatorilor de calitate a serviciului de distribuție a energiei electrice.</w:t>
            </w:r>
          </w:p>
          <w:p w14:paraId="0356A159" w14:textId="77777777" w:rsidR="00C9547C" w:rsidRPr="008459BD" w:rsidRDefault="00C9547C" w:rsidP="0004650D">
            <w:pPr>
              <w:tabs>
                <w:tab w:val="left" w:pos="316"/>
              </w:tabs>
            </w:pPr>
          </w:p>
        </w:tc>
      </w:tr>
    </w:tbl>
    <w:p w14:paraId="0514B6A6" w14:textId="77777777" w:rsidR="00C9547C" w:rsidRPr="008459BD" w:rsidRDefault="00C9547C" w:rsidP="00C9547C">
      <w:pPr>
        <w:tabs>
          <w:tab w:val="left" w:pos="316"/>
        </w:tabs>
        <w:spacing w:line="360" w:lineRule="auto"/>
      </w:pPr>
    </w:p>
    <w:p w14:paraId="06AFB861" w14:textId="77777777" w:rsidR="00C9547C" w:rsidRPr="008459BD" w:rsidRDefault="00C9547C" w:rsidP="00C9547C">
      <w:pPr>
        <w:numPr>
          <w:ilvl w:val="0"/>
          <w:numId w:val="2"/>
        </w:numPr>
        <w:tabs>
          <w:tab w:val="left" w:pos="316"/>
        </w:tabs>
        <w:spacing w:after="160" w:line="360" w:lineRule="auto"/>
        <w:ind w:left="0" w:firstLine="29"/>
        <w:jc w:val="both"/>
      </w:pPr>
      <w:r>
        <w:t>Operatorul de distribuţie are obligaţia să asigure informarea utilizatorului cu privire la beneficiile pe care le poate obţine prin valorificarea funcționalităților</w:t>
      </w:r>
      <w:r w:rsidRPr="008459BD">
        <w:t xml:space="preserve"> </w:t>
      </w:r>
      <w:r>
        <w:t>SMI, prin publicarea tuturor informaţiilor</w:t>
      </w:r>
      <w:r w:rsidRPr="008459BD">
        <w:t xml:space="preserve"> pe pagina de internet http://.................. </w:t>
      </w:r>
    </w:p>
    <w:p w14:paraId="1E410BF3" w14:textId="77777777" w:rsidR="00C9547C" w:rsidRPr="008459BD" w:rsidRDefault="00C9547C" w:rsidP="00C9547C">
      <w:pPr>
        <w:numPr>
          <w:ilvl w:val="0"/>
          <w:numId w:val="2"/>
        </w:numPr>
        <w:tabs>
          <w:tab w:val="left" w:pos="331"/>
        </w:tabs>
        <w:spacing w:after="160" w:line="360" w:lineRule="auto"/>
        <w:ind w:left="0" w:firstLine="29"/>
        <w:jc w:val="both"/>
      </w:pPr>
      <w:r w:rsidRPr="008459BD">
        <w:t>F</w:t>
      </w:r>
      <w:r>
        <w:t>urnizorul are obligaţia să f</w:t>
      </w:r>
      <w:r w:rsidRPr="008459BD">
        <w:t>actur</w:t>
      </w:r>
      <w:r>
        <w:t>eze</w:t>
      </w:r>
      <w:r w:rsidRPr="008459BD">
        <w:t xml:space="preserve"> energi</w:t>
      </w:r>
      <w:r>
        <w:t>a</w:t>
      </w:r>
      <w:r w:rsidRPr="008459BD">
        <w:t xml:space="preserve"> electric</w:t>
      </w:r>
      <w:r>
        <w:t>ă consumată/produsă</w:t>
      </w:r>
      <w:r w:rsidRPr="008459BD">
        <w:t xml:space="preserve"> numai pe baza datelor </w:t>
      </w:r>
      <w:r>
        <w:t>de decontare</w:t>
      </w:r>
      <w:r w:rsidRPr="008459BD">
        <w:t xml:space="preserve"> înregistrate de </w:t>
      </w:r>
      <w:r>
        <w:t>SMI</w:t>
      </w:r>
      <w:r w:rsidRPr="008459BD">
        <w:t xml:space="preserve"> conform prevederilor art. 18 alin. </w:t>
      </w:r>
      <w:r>
        <w:t xml:space="preserve">(4) şi </w:t>
      </w:r>
      <w:r w:rsidRPr="008459BD">
        <w:t xml:space="preserve">(5) din condițiile-cadru aprobate prin Ordinul președintelui ANRE </w:t>
      </w:r>
      <w:r>
        <w:t>nr. 177/2018, fără să</w:t>
      </w:r>
      <w:r w:rsidRPr="008459BD">
        <w:t xml:space="preserve"> mai solicit</w:t>
      </w:r>
      <w:r>
        <w:t>e sau să</w:t>
      </w:r>
      <w:r w:rsidRPr="008459BD">
        <w:t xml:space="preserve"> accept</w:t>
      </w:r>
      <w:r>
        <w:t>e</w:t>
      </w:r>
      <w:r w:rsidRPr="008459BD">
        <w:t xml:space="preserve"> transmiterea </w:t>
      </w:r>
      <w:r>
        <w:t xml:space="preserve">de către utilizator a </w:t>
      </w:r>
      <w:r w:rsidRPr="008459BD">
        <w:t>indexului auto</w:t>
      </w:r>
      <w:r>
        <w:t>-</w:t>
      </w:r>
      <w:r w:rsidRPr="008459BD">
        <w:t>citit</w:t>
      </w:r>
      <w:r>
        <w:t xml:space="preserve"> şi fără să utilizeze o cantitate estimată de energie electrică</w:t>
      </w:r>
      <w:r w:rsidRPr="008459BD">
        <w:t xml:space="preserve">. </w:t>
      </w:r>
    </w:p>
    <w:p w14:paraId="40743149" w14:textId="77777777" w:rsidR="00C9547C" w:rsidRDefault="00C9547C" w:rsidP="00C9547C">
      <w:pPr>
        <w:numPr>
          <w:ilvl w:val="0"/>
          <w:numId w:val="2"/>
        </w:numPr>
        <w:tabs>
          <w:tab w:val="left" w:pos="331"/>
        </w:tabs>
        <w:spacing w:after="160" w:line="360" w:lineRule="auto"/>
        <w:ind w:left="0" w:firstLine="29"/>
        <w:jc w:val="both"/>
      </w:pPr>
      <w:r>
        <w:lastRenderedPageBreak/>
        <w:t>Operatorul de distribuţie are obligaţia să asigure accesul u</w:t>
      </w:r>
      <w:r w:rsidRPr="008459BD">
        <w:t>tilizatorul</w:t>
      </w:r>
      <w:r>
        <w:t>ui</w:t>
      </w:r>
      <w:r w:rsidRPr="008459BD">
        <w:t xml:space="preserve"> la datele </w:t>
      </w:r>
      <w:r>
        <w:t xml:space="preserve">proprii </w:t>
      </w:r>
      <w:r w:rsidRPr="008459BD">
        <w:t xml:space="preserve">de </w:t>
      </w:r>
      <w:r>
        <w:t>decontare</w:t>
      </w:r>
      <w:r w:rsidRPr="00B84DF6">
        <w:t xml:space="preserve"> </w:t>
      </w:r>
      <w:r>
        <w:t>pe</w:t>
      </w:r>
      <w:r w:rsidRPr="00B84DF6">
        <w:t xml:space="preserve"> portalul aflat pe pagina de internet http://............</w:t>
      </w:r>
      <w:r>
        <w:t>,</w:t>
      </w:r>
      <w:r w:rsidRPr="00B84DF6">
        <w:t xml:space="preserve"> prin utilizarea următorului nume de user: .................... și a următoarei parole: .........</w:t>
      </w:r>
      <w:r>
        <w:t>, în condiţiile</w:t>
      </w:r>
      <w:r w:rsidRPr="008459BD">
        <w:t xml:space="preserve"> prev</w:t>
      </w:r>
      <w:r>
        <w:t>ăzute la</w:t>
      </w:r>
      <w:r w:rsidRPr="008459BD">
        <w:t xml:space="preserve"> art. 18 alin</w:t>
      </w:r>
      <w:r w:rsidRPr="00B84DF6">
        <w:t xml:space="preserve">. (3) și alin. (6) din condițiile-cadru aprobate prin Ordinul </w:t>
      </w:r>
      <w:r>
        <w:t>președintelui ANRE nr. 177/2018.</w:t>
      </w:r>
    </w:p>
    <w:p w14:paraId="4493865A" w14:textId="77777777" w:rsidR="00C9547C" w:rsidRPr="00B84DF6" w:rsidRDefault="00C9547C" w:rsidP="00C9547C">
      <w:pPr>
        <w:numPr>
          <w:ilvl w:val="0"/>
          <w:numId w:val="2"/>
        </w:numPr>
        <w:tabs>
          <w:tab w:val="left" w:pos="331"/>
        </w:tabs>
        <w:spacing w:after="160" w:line="360" w:lineRule="auto"/>
        <w:ind w:left="0" w:firstLine="29"/>
        <w:jc w:val="both"/>
      </w:pPr>
      <w:r w:rsidRPr="008459BD">
        <w:t>Operatorul de distribuție și furnizor</w:t>
      </w:r>
      <w:r>
        <w:t>ii,</w:t>
      </w:r>
      <w:r w:rsidRPr="008459BD">
        <w:t xml:space="preserve"> în calitate de operatori de date cu caracter personal</w:t>
      </w:r>
      <w:r>
        <w:t>,</w:t>
      </w:r>
      <w:r w:rsidRPr="008459BD">
        <w:t xml:space="preserve"> au obliga</w:t>
      </w:r>
      <w:r>
        <w:t>ț</w:t>
      </w:r>
      <w:r w:rsidRPr="008459BD">
        <w:t xml:space="preserve">ia de a asigura protecția </w:t>
      </w:r>
      <w:r>
        <w:t>d</w:t>
      </w:r>
      <w:r w:rsidRPr="008459BD">
        <w:t>atel</w:t>
      </w:r>
      <w:r>
        <w:t>or</w:t>
      </w:r>
      <w:r w:rsidRPr="008459BD">
        <w:t xml:space="preserve"> </w:t>
      </w:r>
      <w:r>
        <w:t>prevăzute la punctul 1</w:t>
      </w:r>
      <w:r w:rsidRPr="008459BD">
        <w:t xml:space="preserve"> și de a le utiliza </w:t>
      </w:r>
      <w:r w:rsidRPr="00B84DF6">
        <w:t>în condiții de legalitate</w:t>
      </w:r>
      <w:r>
        <w:t>; aceste date</w:t>
      </w:r>
      <w:r w:rsidRPr="008459BD">
        <w:t xml:space="preserve"> se supun prevederilor </w:t>
      </w:r>
      <w:r w:rsidRPr="008459BD">
        <w:rPr>
          <w:i/>
        </w:rPr>
        <w:t>Regulamentului (UE) 2016/679 privind protecția persoanelor fizice în ceea ce privește prelucrarea datelor cu caracter personal și privind libera circulație a acestor date</w:t>
      </w:r>
      <w:r>
        <w:t>.</w:t>
      </w:r>
    </w:p>
    <w:p w14:paraId="6A95F373" w14:textId="77777777" w:rsidR="00C9547C" w:rsidRDefault="00C9547C" w:rsidP="00C9547C">
      <w:pPr>
        <w:numPr>
          <w:ilvl w:val="0"/>
          <w:numId w:val="2"/>
        </w:numPr>
        <w:tabs>
          <w:tab w:val="left" w:pos="190"/>
        </w:tabs>
        <w:spacing w:after="160" w:line="360" w:lineRule="auto"/>
        <w:ind w:left="0" w:firstLine="0"/>
        <w:jc w:val="both"/>
      </w:pPr>
      <w:r w:rsidRPr="00B84DF6">
        <w:t xml:space="preserve"> Utilizatorul </w:t>
      </w:r>
      <w:r>
        <w:t>are dreptul să solicite operatorului de distribuţie direct sau prin intermediul furnizorului limitarea transmiterii datelor prevăzute la punctul 1 strict la cele necesare facturării lunare a cantităţii de energie electrică consumată/produsă.</w:t>
      </w:r>
    </w:p>
    <w:p w14:paraId="15A96AEE" w14:textId="77777777" w:rsidR="00C9547C" w:rsidRPr="00B84DF6" w:rsidRDefault="00C9547C" w:rsidP="00C9547C">
      <w:pPr>
        <w:numPr>
          <w:ilvl w:val="0"/>
          <w:numId w:val="2"/>
        </w:numPr>
        <w:tabs>
          <w:tab w:val="left" w:pos="190"/>
        </w:tabs>
        <w:spacing w:after="160" w:line="360" w:lineRule="auto"/>
        <w:ind w:left="0" w:firstLine="0"/>
        <w:jc w:val="both"/>
      </w:pPr>
      <w:r>
        <w:t xml:space="preserve"> În situaţia înregistrării unei solicitări scrise conform punctului 6, operatorul de distribuţie are obligaţia să răspundă utilizatorului în scris în termen de 30 de zile lucrătoare şi să </w:t>
      </w:r>
      <w:r w:rsidRPr="00B84DF6">
        <w:t>configur</w:t>
      </w:r>
      <w:r>
        <w:t>eze</w:t>
      </w:r>
      <w:r w:rsidRPr="00B84DF6">
        <w:t xml:space="preserve"> subsistemul de măsurare </w:t>
      </w:r>
      <w:r>
        <w:t>astfel încât acesta să asigure numai</w:t>
      </w:r>
      <w:r w:rsidRPr="00B84DF6">
        <w:t xml:space="preserve"> necesarul de date pentru facturarea </w:t>
      </w:r>
      <w:r>
        <w:t>lunară a cantităţii de energie electrică consumată/produsă</w:t>
      </w:r>
      <w:r w:rsidRPr="00B84DF6">
        <w:t>.</w:t>
      </w:r>
    </w:p>
    <w:p w14:paraId="1F77F25F" w14:textId="77777777" w:rsidR="00C9547C" w:rsidRDefault="00C9547C" w:rsidP="00C9547C">
      <w:pPr>
        <w:numPr>
          <w:ilvl w:val="0"/>
          <w:numId w:val="2"/>
        </w:numPr>
        <w:tabs>
          <w:tab w:val="left" w:pos="190"/>
        </w:tabs>
        <w:spacing w:after="160" w:line="360" w:lineRule="auto"/>
        <w:ind w:left="0" w:firstLine="0"/>
        <w:jc w:val="both"/>
      </w:pPr>
      <w:r>
        <w:t xml:space="preserve"> </w:t>
      </w:r>
      <w:r w:rsidRPr="00B84DF6">
        <w:t>Condițiile specifice din prezenta anexă fac parte integrantă din contractul de furnizare/distribuţie în vigoare.</w:t>
      </w:r>
    </w:p>
    <w:p w14:paraId="5799EC0B" w14:textId="77777777" w:rsidR="00C9547C" w:rsidRDefault="00C9547C" w:rsidP="00C9547C">
      <w:pPr>
        <w:tabs>
          <w:tab w:val="left" w:pos="190"/>
        </w:tabs>
        <w:spacing w:after="160" w:line="360" w:lineRule="auto"/>
        <w:jc w:val="both"/>
      </w:pPr>
    </w:p>
    <w:p w14:paraId="5ABCE8A0" w14:textId="68CFFB91" w:rsidR="00752377" w:rsidRDefault="00752377"/>
    <w:sectPr w:rsidR="00752377" w:rsidSect="000D182F">
      <w:pgSz w:w="12240" w:h="15840"/>
      <w:pgMar w:top="993" w:right="1041" w:bottom="1206"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038E"/>
    <w:multiLevelType w:val="hybridMultilevel"/>
    <w:tmpl w:val="D6BA4B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5B85EB7"/>
    <w:multiLevelType w:val="multilevel"/>
    <w:tmpl w:val="C39E1A86"/>
    <w:lvl w:ilvl="0">
      <w:numFmt w:val="bullet"/>
      <w:lvlText w:val="-"/>
      <w:lvlJc w:val="left"/>
      <w:pPr>
        <w:ind w:left="510" w:hanging="360"/>
      </w:pPr>
      <w:rPr>
        <w:rFonts w:ascii="Arial" w:eastAsia="Calibri" w:hAnsi="Arial" w:cs="Arial"/>
      </w:rPr>
    </w:lvl>
    <w:lvl w:ilvl="1">
      <w:numFmt w:val="bullet"/>
      <w:lvlText w:val="o"/>
      <w:lvlJc w:val="left"/>
      <w:pPr>
        <w:ind w:left="1230" w:hanging="360"/>
      </w:pPr>
      <w:rPr>
        <w:rFonts w:ascii="Courier New" w:hAnsi="Courier New" w:cs="Courier New"/>
      </w:rPr>
    </w:lvl>
    <w:lvl w:ilvl="2">
      <w:numFmt w:val="bullet"/>
      <w:lvlText w:val=""/>
      <w:lvlJc w:val="left"/>
      <w:pPr>
        <w:ind w:left="1950" w:hanging="360"/>
      </w:pPr>
      <w:rPr>
        <w:rFonts w:ascii="Wingdings" w:hAnsi="Wingdings"/>
      </w:rPr>
    </w:lvl>
    <w:lvl w:ilvl="3">
      <w:numFmt w:val="bullet"/>
      <w:lvlText w:val=""/>
      <w:lvlJc w:val="left"/>
      <w:pPr>
        <w:ind w:left="2670" w:hanging="360"/>
      </w:pPr>
      <w:rPr>
        <w:rFonts w:ascii="Symbol" w:hAnsi="Symbol"/>
      </w:rPr>
    </w:lvl>
    <w:lvl w:ilvl="4">
      <w:numFmt w:val="bullet"/>
      <w:lvlText w:val="o"/>
      <w:lvlJc w:val="left"/>
      <w:pPr>
        <w:ind w:left="3390" w:hanging="360"/>
      </w:pPr>
      <w:rPr>
        <w:rFonts w:ascii="Courier New" w:hAnsi="Courier New" w:cs="Courier New"/>
      </w:rPr>
    </w:lvl>
    <w:lvl w:ilvl="5">
      <w:numFmt w:val="bullet"/>
      <w:lvlText w:val=""/>
      <w:lvlJc w:val="left"/>
      <w:pPr>
        <w:ind w:left="4110" w:hanging="360"/>
      </w:pPr>
      <w:rPr>
        <w:rFonts w:ascii="Wingdings" w:hAnsi="Wingdings"/>
      </w:rPr>
    </w:lvl>
    <w:lvl w:ilvl="6">
      <w:numFmt w:val="bullet"/>
      <w:lvlText w:val=""/>
      <w:lvlJc w:val="left"/>
      <w:pPr>
        <w:ind w:left="4830" w:hanging="360"/>
      </w:pPr>
      <w:rPr>
        <w:rFonts w:ascii="Symbol" w:hAnsi="Symbol"/>
      </w:rPr>
    </w:lvl>
    <w:lvl w:ilvl="7">
      <w:numFmt w:val="bullet"/>
      <w:lvlText w:val="o"/>
      <w:lvlJc w:val="left"/>
      <w:pPr>
        <w:ind w:left="5550" w:hanging="360"/>
      </w:pPr>
      <w:rPr>
        <w:rFonts w:ascii="Courier New" w:hAnsi="Courier New" w:cs="Courier New"/>
      </w:rPr>
    </w:lvl>
    <w:lvl w:ilvl="8">
      <w:numFmt w:val="bullet"/>
      <w:lvlText w:val=""/>
      <w:lvlJc w:val="left"/>
      <w:pPr>
        <w:ind w:left="627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7C"/>
    <w:rsid w:val="00752377"/>
    <w:rsid w:val="00C9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1152"/>
  <w15:chartTrackingRefBased/>
  <w15:docId w15:val="{B6939A05-BE9D-423C-8457-7AE8E51E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7C"/>
    <w:pPr>
      <w:spacing w:after="0" w:line="240" w:lineRule="auto"/>
    </w:pPr>
    <w:rPr>
      <w:rFonts w:ascii="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547C"/>
    <w:pPr>
      <w:ind w:left="720"/>
      <w:contextualSpacing/>
    </w:pPr>
  </w:style>
  <w:style w:type="character" w:customStyle="1" w:styleId="ListParagraphChar">
    <w:name w:val="List Paragraph Char"/>
    <w:basedOn w:val="DefaultParagraphFont"/>
    <w:link w:val="ListParagraph"/>
    <w:uiPriority w:val="34"/>
    <w:rsid w:val="00C9547C"/>
    <w:rPr>
      <w:rFonts w:ascii="Times New Roman" w:hAnsi="Times New Roman" w:cs="Times New Roman"/>
      <w:sz w:val="24"/>
      <w:szCs w:val="24"/>
      <w:lang w:val="ro-RO"/>
    </w:rPr>
  </w:style>
  <w:style w:type="table" w:styleId="TableGrid">
    <w:name w:val="Table Grid"/>
    <w:basedOn w:val="TableNormal"/>
    <w:uiPriority w:val="39"/>
    <w:rsid w:val="00C9547C"/>
    <w:pPr>
      <w:spacing w:after="0" w:line="240" w:lineRule="auto"/>
    </w:pPr>
    <w:rPr>
      <w:rFonts w:ascii="Times New Roman" w:hAnsi="Times New Roman" w:cs="Times New Roman"/>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Micutul</dc:creator>
  <cp:keywords/>
  <dc:description/>
  <cp:lastModifiedBy>Micutul</cp:lastModifiedBy>
  <cp:revision>1</cp:revision>
  <dcterms:created xsi:type="dcterms:W3CDTF">2021-04-02T08:35:00Z</dcterms:created>
  <dcterms:modified xsi:type="dcterms:W3CDTF">2021-04-02T08:36:00Z</dcterms:modified>
</cp:coreProperties>
</file>